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A4B2" w14:textId="77777777" w:rsidR="00361FE1" w:rsidRDefault="00361FE1" w:rsidP="00361FE1">
      <w:pPr>
        <w:pStyle w:val="F2-zkladn"/>
        <w:spacing w:line="276" w:lineRule="auto"/>
        <w:rPr>
          <w:b/>
          <w:sz w:val="28"/>
          <w:szCs w:val="28"/>
        </w:rPr>
      </w:pPr>
      <w:r>
        <w:rPr>
          <w:b/>
          <w:sz w:val="28"/>
          <w:szCs w:val="28"/>
        </w:rPr>
        <w:t>TISKOVÁ ZPRÁVA</w:t>
      </w:r>
    </w:p>
    <w:p w14:paraId="5C2E41B0" w14:textId="3A9D8EDB" w:rsidR="00361FE1" w:rsidRPr="00CA5BF5" w:rsidRDefault="00361FE1" w:rsidP="00361FE1">
      <w:pPr>
        <w:pStyle w:val="F2-zkladn"/>
        <w:spacing w:line="276" w:lineRule="auto"/>
        <w:jc w:val="right"/>
        <w:rPr>
          <w:b/>
          <w:sz w:val="28"/>
          <w:szCs w:val="28"/>
        </w:rPr>
      </w:pPr>
      <w:r w:rsidRPr="00455A3C">
        <w:tab/>
      </w:r>
      <w:r w:rsidRPr="00893890">
        <w:t>Praha,</w:t>
      </w:r>
      <w:r>
        <w:t xml:space="preserve"> </w:t>
      </w:r>
      <w:r w:rsidR="00B402BE">
        <w:t>20</w:t>
      </w:r>
      <w:r>
        <w:t xml:space="preserve">. </w:t>
      </w:r>
      <w:r w:rsidR="0094645C">
        <w:t>července</w:t>
      </w:r>
      <w:r>
        <w:t xml:space="preserve"> </w:t>
      </w:r>
      <w:r w:rsidRPr="00893890">
        <w:t>202</w:t>
      </w:r>
      <w:r>
        <w:t>6</w:t>
      </w:r>
    </w:p>
    <w:p w14:paraId="50D10091" w14:textId="77777777" w:rsidR="00361FE1" w:rsidRDefault="00361FE1" w:rsidP="00361FE1">
      <w:pPr>
        <w:spacing w:line="360" w:lineRule="auto"/>
        <w:rPr>
          <w:b/>
          <w:bCs/>
          <w:kern w:val="28"/>
          <w:sz w:val="28"/>
          <w:szCs w:val="28"/>
        </w:rPr>
      </w:pPr>
    </w:p>
    <w:p w14:paraId="1A86E1BF" w14:textId="209F1DDD" w:rsidR="0094645C" w:rsidRPr="0094645C" w:rsidRDefault="000E73E7" w:rsidP="0094645C">
      <w:pPr>
        <w:rPr>
          <w:b/>
          <w:bCs/>
          <w:kern w:val="28"/>
          <w:sz w:val="28"/>
          <w:szCs w:val="28"/>
        </w:rPr>
      </w:pPr>
      <w:proofErr w:type="spellStart"/>
      <w:r>
        <w:rPr>
          <w:b/>
          <w:bCs/>
          <w:kern w:val="28"/>
          <w:sz w:val="28"/>
          <w:szCs w:val="28"/>
        </w:rPr>
        <w:t>Fidelity</w:t>
      </w:r>
      <w:proofErr w:type="spellEnd"/>
      <w:r>
        <w:rPr>
          <w:b/>
          <w:bCs/>
          <w:kern w:val="28"/>
          <w:sz w:val="28"/>
          <w:szCs w:val="28"/>
        </w:rPr>
        <w:t xml:space="preserve"> </w:t>
      </w:r>
      <w:proofErr w:type="spellStart"/>
      <w:r>
        <w:rPr>
          <w:b/>
          <w:bCs/>
          <w:kern w:val="28"/>
          <w:sz w:val="28"/>
          <w:szCs w:val="28"/>
        </w:rPr>
        <w:t>Internationa</w:t>
      </w:r>
      <w:proofErr w:type="spellEnd"/>
      <w:r w:rsidR="00B22F29">
        <w:rPr>
          <w:b/>
          <w:bCs/>
          <w:kern w:val="28"/>
          <w:sz w:val="28"/>
          <w:szCs w:val="28"/>
        </w:rPr>
        <w:t xml:space="preserve">: </w:t>
      </w:r>
      <w:r w:rsidR="0094645C" w:rsidRPr="0094645C">
        <w:rPr>
          <w:b/>
          <w:bCs/>
          <w:kern w:val="28"/>
          <w:sz w:val="28"/>
          <w:szCs w:val="28"/>
        </w:rPr>
        <w:t>Asie</w:t>
      </w:r>
      <w:r w:rsidR="00B22F29">
        <w:rPr>
          <w:b/>
          <w:bCs/>
          <w:kern w:val="28"/>
          <w:sz w:val="28"/>
          <w:szCs w:val="28"/>
        </w:rPr>
        <w:t xml:space="preserve">, </w:t>
      </w:r>
      <w:r w:rsidR="0094645C" w:rsidRPr="0094645C">
        <w:rPr>
          <w:b/>
          <w:bCs/>
          <w:kern w:val="28"/>
          <w:sz w:val="28"/>
          <w:szCs w:val="28"/>
        </w:rPr>
        <w:t xml:space="preserve"> </w:t>
      </w:r>
      <w:r w:rsidR="00B22F29">
        <w:rPr>
          <w:b/>
          <w:bCs/>
          <w:kern w:val="28"/>
          <w:sz w:val="28"/>
          <w:szCs w:val="28"/>
        </w:rPr>
        <w:t>v</w:t>
      </w:r>
      <w:r w:rsidR="0094645C" w:rsidRPr="0094645C">
        <w:rPr>
          <w:b/>
          <w:bCs/>
          <w:kern w:val="28"/>
          <w:sz w:val="28"/>
          <w:szCs w:val="28"/>
        </w:rPr>
        <w:t>ítězové a poražení v kontextu energetické krize a nástupu AI</w:t>
      </w:r>
    </w:p>
    <w:p w14:paraId="03D81FAD" w14:textId="6DFAFA9D" w:rsidR="0094645C" w:rsidRPr="0094645C" w:rsidRDefault="0094645C" w:rsidP="0094645C">
      <w:r w:rsidRPr="0094645C">
        <w:t xml:space="preserve">Výhled pro Asii </w:t>
      </w:r>
      <w:r w:rsidR="00864A93">
        <w:t>řídí</w:t>
      </w:r>
      <w:r w:rsidRPr="0094645C">
        <w:t xml:space="preserve"> dva faktory – energetický šok a rozmach umělé inteligence.</w:t>
      </w:r>
    </w:p>
    <w:p w14:paraId="1543E98C" w14:textId="03E2FAAC" w:rsidR="0094645C" w:rsidRPr="0094645C" w:rsidRDefault="0094645C" w:rsidP="0094645C">
      <w:r w:rsidRPr="0094645C">
        <w:rPr>
          <w:b/>
          <w:bCs/>
        </w:rPr>
        <w:t xml:space="preserve">Autoři: Matthew </w:t>
      </w:r>
      <w:proofErr w:type="spellStart"/>
      <w:r w:rsidRPr="0094645C">
        <w:rPr>
          <w:b/>
          <w:bCs/>
        </w:rPr>
        <w:t>Quaife</w:t>
      </w:r>
      <w:proofErr w:type="spellEnd"/>
      <w:r w:rsidRPr="0094645C">
        <w:rPr>
          <w:b/>
          <w:bCs/>
        </w:rPr>
        <w:t xml:space="preserve">, </w:t>
      </w:r>
      <w:proofErr w:type="spellStart"/>
      <w:r w:rsidRPr="0094645C">
        <w:rPr>
          <w:b/>
          <w:bCs/>
        </w:rPr>
        <w:t>Peiqian</w:t>
      </w:r>
      <w:proofErr w:type="spellEnd"/>
      <w:r w:rsidRPr="0094645C">
        <w:rPr>
          <w:b/>
          <w:bCs/>
        </w:rPr>
        <w:t xml:space="preserve"> </w:t>
      </w:r>
      <w:proofErr w:type="spellStart"/>
      <w:r w:rsidRPr="0094645C">
        <w:rPr>
          <w:b/>
          <w:bCs/>
        </w:rPr>
        <w:t>Liu</w:t>
      </w:r>
      <w:proofErr w:type="spellEnd"/>
      <w:r w:rsidR="00E46C56">
        <w:rPr>
          <w:b/>
          <w:bCs/>
        </w:rPr>
        <w:t xml:space="preserve"> ze společnosti </w:t>
      </w:r>
      <w:proofErr w:type="spellStart"/>
      <w:r w:rsidR="00E46C56">
        <w:rPr>
          <w:b/>
          <w:bCs/>
        </w:rPr>
        <w:t>Fidelity</w:t>
      </w:r>
      <w:proofErr w:type="spellEnd"/>
      <w:r w:rsidR="00E46C56">
        <w:rPr>
          <w:b/>
          <w:bCs/>
        </w:rPr>
        <w:t xml:space="preserve"> International</w:t>
      </w:r>
    </w:p>
    <w:p w14:paraId="69634E17" w14:textId="77777777" w:rsidR="0094645C" w:rsidRPr="0094645C" w:rsidRDefault="0094645C" w:rsidP="0094645C">
      <w:r w:rsidRPr="0094645C">
        <w:rPr>
          <w:b/>
          <w:bCs/>
        </w:rPr>
        <w:t>Hlavní závěry:</w:t>
      </w:r>
    </w:p>
    <w:p w14:paraId="21B7A4F8" w14:textId="77777777" w:rsidR="0094645C" w:rsidRPr="0094645C" w:rsidRDefault="0094645C">
      <w:pPr>
        <w:numPr>
          <w:ilvl w:val="0"/>
          <w:numId w:val="23"/>
        </w:numPr>
      </w:pPr>
      <w:r w:rsidRPr="0094645C">
        <w:rPr>
          <w:b/>
          <w:bCs/>
        </w:rPr>
        <w:t>Umělá inteligence</w:t>
      </w:r>
      <w:r w:rsidRPr="0094645C">
        <w:t xml:space="preserve"> zůstane pro Asii dominantním tématem, což dále posílí atraktivitu technologických titulů v </w:t>
      </w:r>
      <w:r w:rsidRPr="0094645C">
        <w:rPr>
          <w:b/>
          <w:bCs/>
        </w:rPr>
        <w:t>Jižní Koreji</w:t>
      </w:r>
      <w:r w:rsidRPr="0094645C">
        <w:t xml:space="preserve">, na </w:t>
      </w:r>
      <w:r w:rsidRPr="0094645C">
        <w:rPr>
          <w:b/>
          <w:bCs/>
        </w:rPr>
        <w:t>Tchaj-wanu</w:t>
      </w:r>
      <w:r w:rsidRPr="0094645C">
        <w:t xml:space="preserve"> a na pevninské </w:t>
      </w:r>
      <w:r w:rsidRPr="0094645C">
        <w:rPr>
          <w:b/>
          <w:bCs/>
        </w:rPr>
        <w:t>Číně</w:t>
      </w:r>
      <w:r w:rsidRPr="0094645C">
        <w:t>.</w:t>
      </w:r>
    </w:p>
    <w:p w14:paraId="1D40850E" w14:textId="77777777" w:rsidR="0094645C" w:rsidRPr="0094645C" w:rsidRDefault="0094645C">
      <w:pPr>
        <w:numPr>
          <w:ilvl w:val="0"/>
          <w:numId w:val="23"/>
        </w:numPr>
      </w:pPr>
      <w:r w:rsidRPr="0094645C">
        <w:t>Atraktivní vypadají</w:t>
      </w:r>
      <w:r w:rsidRPr="0094645C">
        <w:rPr>
          <w:b/>
          <w:bCs/>
        </w:rPr>
        <w:t xml:space="preserve"> japonské akcie střední kapitalizace</w:t>
      </w:r>
      <w:r w:rsidRPr="0094645C">
        <w:t xml:space="preserve">, které budou těžit z oživující se domácí poptávky a reforem </w:t>
      </w:r>
      <w:proofErr w:type="spellStart"/>
      <w:r w:rsidRPr="0094645C">
        <w:t>corporate</w:t>
      </w:r>
      <w:proofErr w:type="spellEnd"/>
      <w:r w:rsidRPr="0094645C">
        <w:t xml:space="preserve"> </w:t>
      </w:r>
      <w:proofErr w:type="spellStart"/>
      <w:r w:rsidRPr="0094645C">
        <w:t>governance</w:t>
      </w:r>
      <w:proofErr w:type="spellEnd"/>
      <w:r w:rsidRPr="0094645C">
        <w:t>.</w:t>
      </w:r>
    </w:p>
    <w:p w14:paraId="4F3D1E16" w14:textId="77777777" w:rsidR="0094645C" w:rsidRPr="0094645C" w:rsidRDefault="0094645C">
      <w:pPr>
        <w:numPr>
          <w:ilvl w:val="0"/>
          <w:numId w:val="23"/>
        </w:numPr>
      </w:pPr>
      <w:r w:rsidRPr="0094645C">
        <w:t xml:space="preserve">Pozitivní pohled zaujímáme na </w:t>
      </w:r>
      <w:r w:rsidRPr="0094645C">
        <w:rPr>
          <w:b/>
          <w:bCs/>
        </w:rPr>
        <w:t>komodity</w:t>
      </w:r>
      <w:r w:rsidRPr="0094645C">
        <w:t xml:space="preserve"> jako prostředek zajištění proti inflaci a diverzifikace portfolia.</w:t>
      </w:r>
    </w:p>
    <w:p w14:paraId="76B80E13" w14:textId="77777777" w:rsidR="0094645C" w:rsidRPr="0094645C" w:rsidRDefault="0094645C">
      <w:pPr>
        <w:numPr>
          <w:ilvl w:val="0"/>
          <w:numId w:val="23"/>
        </w:numPr>
      </w:pPr>
      <w:r w:rsidRPr="0094645C">
        <w:t xml:space="preserve">Rostoucí zájem o komodity, spojený s robustní australskou domácí ekonomikou a jestřábí centrální bankou, pravděpodobně podpoří </w:t>
      </w:r>
      <w:r w:rsidRPr="0094645C">
        <w:rPr>
          <w:b/>
          <w:bCs/>
        </w:rPr>
        <w:t>australský dolar</w:t>
      </w:r>
      <w:r w:rsidRPr="0094645C">
        <w:t>.</w:t>
      </w:r>
    </w:p>
    <w:p w14:paraId="0E00F82D" w14:textId="77777777" w:rsidR="0094645C" w:rsidRPr="0094645C" w:rsidRDefault="0094645C" w:rsidP="0094645C">
      <w:r w:rsidRPr="0094645C">
        <w:t>Asie, region silně závislý v oblasti energetiky na Blízkém východě, byla výrazně zasažena dopady konfliktu v Perském zálivu. Dopad však nebyl rovnoměrný: země dovážející energii čelí nedostatku dodávek a vyšším nákladům, zatímco země vyvážející energii těží z rostoucích cen komodit. Schopnost jednotlivých zemí tlumit tento šok se rovněž značně liší. Vedle toho vidíme prudce rostoucí investice do umělé inteligence (AI), které vlévají krev dožil regionálním výrobcům čipů i technologickým gigantům. Tyto dvě dominantní investiční témata budou v druhé polovině roku 2026 hnací silou vývoje v celém asijském regionu.</w:t>
      </w:r>
    </w:p>
    <w:p w14:paraId="563D80D5" w14:textId="77777777" w:rsidR="0094645C" w:rsidRPr="0094645C" w:rsidRDefault="0094645C" w:rsidP="0094645C">
      <w:r w:rsidRPr="0094645C">
        <w:rPr>
          <w:b/>
          <w:bCs/>
        </w:rPr>
        <w:t>Sever vs. Jih</w:t>
      </w:r>
    </w:p>
    <w:p w14:paraId="108444D9" w14:textId="77777777" w:rsidR="0094645C" w:rsidRPr="0094645C" w:rsidRDefault="0094645C" w:rsidP="0094645C">
      <w:r w:rsidRPr="0094645C">
        <w:t xml:space="preserve">Přibližně 80 procent ropy procházející </w:t>
      </w:r>
      <w:proofErr w:type="spellStart"/>
      <w:r w:rsidRPr="0094645C">
        <w:t>Hormuzským</w:t>
      </w:r>
      <w:proofErr w:type="spellEnd"/>
      <w:r w:rsidRPr="0094645C">
        <w:t xml:space="preserve"> průlivem směřuje obvykle do Asie. Blokáda vedla k značnému energetickému šoku v regionu, který je zmírňován kombinací fiskálních a administrativních opatření a různou mírou destrukce poptávky. Významný rozdíl se rýsuje mezi bohatšími ekonomikami severní Asie, jako jsou Čína, Jižní Korea a Tchaj-wan, které jsou schopny lépe zvládnout dopady konfliktu, a ekonomikami na jihu a jihovýchodě, jako jsou Indie, Thajsko a Filipíny.</w:t>
      </w:r>
    </w:p>
    <w:p w14:paraId="3D51E7AA" w14:textId="77777777" w:rsidR="0094645C" w:rsidRPr="0094645C" w:rsidRDefault="0094645C" w:rsidP="0094645C">
      <w:r w:rsidRPr="0094645C">
        <w:t xml:space="preserve">Čína se před tímto šokem do značné míry ochránila díky značným rezervám a diverzifikovanému energetickému mixu. S tím, jak jsou vyšší vstupní ceny stále více promítány na spotřebitele, může být dopad inflace způsobené nárůstem nákladů postupně viditelnější a trvalejší, což zmírní deflační tlaky. Nemovitostní trh, který se od roku 2021 potýká s propadem, rovněž vykazuje první známky stabilizace, což snižuje potřebu akutnějšího plošného uvolnění měnové politiky. Cílené stimuly zůstávají hlavním </w:t>
      </w:r>
      <w:r w:rsidRPr="0094645C">
        <w:lastRenderedPageBreak/>
        <w:t>politickým nástrojem k překonání nepříznivých vlivů energetického šoku. K trvalému oživení spotřebitelské důvěry pravděpodobně nedojde, dokud se dále nezlepší výhled na trhu s nemovitostmi. Vzhledem k utlumené domácí poptávce bude ekonomika v letošním roce jako zdroje růstu záviset na vývozu a investicích.</w:t>
      </w:r>
    </w:p>
    <w:p w14:paraId="0A312C65" w14:textId="6FAB74DF" w:rsidR="0094645C" w:rsidRPr="0094645C" w:rsidRDefault="0094645C" w:rsidP="0094645C">
      <w:r w:rsidRPr="0094645C">
        <w:t xml:space="preserve">Hospodářské oživení Japonska pokračuje, podpořené expanzivní fiskální politikou a oživující se domácí poptávkou. Vzhledem k závislosti země na dovážené energii budou vysoké ceny ropy pravděpodobně tlačit na reálné příjmy a marže podniků, čímž se zvýší riziko ekonomického zpomalení. Drtivé volební vítězství premiérky </w:t>
      </w:r>
      <w:proofErr w:type="spellStart"/>
      <w:r w:rsidRPr="0094645C">
        <w:t>Sanae</w:t>
      </w:r>
      <w:proofErr w:type="spellEnd"/>
      <w:r w:rsidRPr="0094645C">
        <w:t xml:space="preserve"> </w:t>
      </w:r>
      <w:proofErr w:type="spellStart"/>
      <w:r w:rsidRPr="0094645C">
        <w:t>Takaichiové</w:t>
      </w:r>
      <w:proofErr w:type="spellEnd"/>
      <w:r w:rsidRPr="0094645C">
        <w:t xml:space="preserve"> v únoru však zvedlo pravděpodobnost další fiskální podpory. Očekáváme, že Japonská centrální banka (BOJ) bude úrokové sazby normalizovat postupným tempem, což pomůže ukotvit inflační očekávání, aniž by došlo k utlumení růstu.</w:t>
      </w:r>
    </w:p>
    <w:p w14:paraId="1B80C4AF" w14:textId="609C50A8" w:rsidR="0094645C" w:rsidRPr="0094645C" w:rsidRDefault="0094645C" w:rsidP="0094645C">
      <w:r w:rsidRPr="0094645C">
        <w:t xml:space="preserve">V zemích a odvětvích, která jsou citlivá na energetické šoky, jsme </w:t>
      </w:r>
      <w:proofErr w:type="spellStart"/>
      <w:r w:rsidRPr="0094645C">
        <w:t>podvážení</w:t>
      </w:r>
      <w:proofErr w:type="spellEnd"/>
      <w:r w:rsidRPr="0094645C">
        <w:t xml:space="preserve"> a raději se zaměřujeme na specifická strukturální témata.</w:t>
      </w:r>
    </w:p>
    <w:p w14:paraId="36062493" w14:textId="14099BD0" w:rsidR="0094645C" w:rsidRPr="0094645C" w:rsidRDefault="0094645C" w:rsidP="0094645C">
      <w:r w:rsidRPr="0094645C">
        <w:rPr>
          <w:b/>
          <w:bCs/>
        </w:rPr>
        <w:t>Boom v oblasti čipů v Jižní Koreji a na Tchaj-wanu</w:t>
      </w:r>
    </w:p>
    <w:p w14:paraId="24B5DB51" w14:textId="710228BF" w:rsidR="0094645C" w:rsidRPr="0094645C" w:rsidRDefault="0094645C" w:rsidP="0094645C">
      <w:r w:rsidRPr="0094645C">
        <w:t>Jižní Korea a Tchaj-wan ovládly globální kapitálové výdaje do AI, a to díky intenzivní poptávce po paměťových čipech a polovodičích obecně. Tchaj-wan ovládá přibližně 90 procent nejmodernější výroby čipů na světě, zatímco Jižní Korea vede ve výrobě specializovaných pamětí potřebných pro umělou inteligenci.</w:t>
      </w:r>
    </w:p>
    <w:p w14:paraId="6FAB89F0" w14:textId="6BD5AE8C" w:rsidR="0094645C" w:rsidRPr="0094645C" w:rsidRDefault="0094645C" w:rsidP="0094645C">
      <w:r w:rsidRPr="0094645C">
        <w:t>Výdaje na infrastrukturu potřebnou pro AI nadále zrychlují a jejich vrchol stále není v dohledu. Tyto výdaje se u některých asijských společností promítly do astronomického růstu zisků.</w:t>
      </w:r>
    </w:p>
    <w:p w14:paraId="22D7C263" w14:textId="3118DD0E" w:rsidR="0094645C" w:rsidRPr="0094645C" w:rsidRDefault="0094645C" w:rsidP="0094645C">
      <w:pPr>
        <w:rPr>
          <w:b/>
          <w:bCs/>
        </w:rPr>
      </w:pPr>
      <w:r w:rsidRPr="0094645C">
        <w:rPr>
          <w:b/>
          <w:bCs/>
        </w:rPr>
        <w:t>Rostoucí váha Jižní Koreje a Tchaj-wanu v indexu MSCI EM</w:t>
      </w:r>
    </w:p>
    <w:p w14:paraId="4A490FBB" w14:textId="21E541B2" w:rsidR="0094645C" w:rsidRPr="0094645C" w:rsidRDefault="0094645C" w:rsidP="0094645C">
      <w:r w:rsidRPr="0094645C">
        <w:rPr>
          <w:noProof/>
        </w:rPr>
        <w:drawing>
          <wp:anchor distT="0" distB="0" distL="114300" distR="114300" simplePos="0" relativeHeight="251658240" behindDoc="0" locked="0" layoutInCell="1" allowOverlap="1" wp14:anchorId="3D438BC4" wp14:editId="6B675F78">
            <wp:simplePos x="0" y="0"/>
            <wp:positionH relativeFrom="margin">
              <wp:align>center</wp:align>
            </wp:positionH>
            <wp:positionV relativeFrom="paragraph">
              <wp:posOffset>373380</wp:posOffset>
            </wp:positionV>
            <wp:extent cx="5714716" cy="3061855"/>
            <wp:effectExtent l="0" t="0" r="635" b="5715"/>
            <wp:wrapSquare wrapText="bothSides"/>
            <wp:docPr id="7782764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1">
                      <a:extLst>
                        <a:ext uri="{28A0092B-C50C-407E-A947-70E740481C1C}">
                          <a14:useLocalDpi xmlns:a14="http://schemas.microsoft.com/office/drawing/2010/main" val="0"/>
                        </a:ext>
                      </a:extLst>
                    </a:blip>
                    <a:srcRect t="8546" b="11087"/>
                    <a:stretch>
                      <a:fillRect/>
                    </a:stretch>
                  </pic:blipFill>
                  <pic:spPr bwMode="auto">
                    <a:xfrm>
                      <a:off x="0" y="0"/>
                      <a:ext cx="5714716" cy="3061855"/>
                    </a:xfrm>
                    <a:prstGeom prst="rect">
                      <a:avLst/>
                    </a:prstGeom>
                    <a:noFill/>
                    <a:ln>
                      <a:noFill/>
                    </a:ln>
                    <a:extLst>
                      <a:ext uri="{53640926-AAD7-44D8-BBD7-CCE9431645EC}">
                        <a14:shadowObscured xmlns:a14="http://schemas.microsoft.com/office/drawing/2010/main"/>
                      </a:ext>
                    </a:extLst>
                  </pic:spPr>
                </pic:pic>
              </a:graphicData>
            </a:graphic>
          </wp:anchor>
        </w:drawing>
      </w:r>
    </w:p>
    <w:p w14:paraId="6FED4283" w14:textId="77777777" w:rsidR="0094645C" w:rsidRPr="0094645C" w:rsidRDefault="0094645C" w:rsidP="0094645C">
      <w:pPr>
        <w:rPr>
          <w:sz w:val="18"/>
          <w:szCs w:val="18"/>
        </w:rPr>
      </w:pPr>
      <w:r w:rsidRPr="0094645C">
        <w:rPr>
          <w:sz w:val="18"/>
          <w:szCs w:val="18"/>
        </w:rPr>
        <w:t xml:space="preserve">Zdroj: </w:t>
      </w:r>
      <w:proofErr w:type="spellStart"/>
      <w:r w:rsidRPr="0094645C">
        <w:rPr>
          <w:sz w:val="18"/>
          <w:szCs w:val="18"/>
        </w:rPr>
        <w:t>Bloomberg</w:t>
      </w:r>
      <w:proofErr w:type="spellEnd"/>
      <w:r w:rsidRPr="0094645C">
        <w:rPr>
          <w:sz w:val="18"/>
          <w:szCs w:val="18"/>
        </w:rPr>
        <w:t xml:space="preserve">, </w:t>
      </w:r>
      <w:proofErr w:type="spellStart"/>
      <w:r w:rsidRPr="0094645C">
        <w:rPr>
          <w:sz w:val="18"/>
          <w:szCs w:val="18"/>
        </w:rPr>
        <w:t>Fidelity</w:t>
      </w:r>
      <w:proofErr w:type="spellEnd"/>
      <w:r w:rsidRPr="0094645C">
        <w:rPr>
          <w:sz w:val="18"/>
          <w:szCs w:val="18"/>
        </w:rPr>
        <w:t xml:space="preserve"> International, květen 2026. Poznámka: Tržní váhy v indexu MSCI </w:t>
      </w:r>
      <w:proofErr w:type="spellStart"/>
      <w:r w:rsidRPr="0094645C">
        <w:rPr>
          <w:sz w:val="18"/>
          <w:szCs w:val="18"/>
        </w:rPr>
        <w:t>Emerging</w:t>
      </w:r>
      <w:proofErr w:type="spellEnd"/>
      <w:r w:rsidRPr="0094645C">
        <w:rPr>
          <w:sz w:val="18"/>
          <w:szCs w:val="18"/>
        </w:rPr>
        <w:t xml:space="preserve"> </w:t>
      </w:r>
      <w:proofErr w:type="spellStart"/>
      <w:r w:rsidRPr="0094645C">
        <w:rPr>
          <w:sz w:val="18"/>
          <w:szCs w:val="18"/>
        </w:rPr>
        <w:t>Markets</w:t>
      </w:r>
      <w:proofErr w:type="spellEnd"/>
    </w:p>
    <w:p w14:paraId="7C1D83A9" w14:textId="77777777" w:rsidR="0094645C" w:rsidRPr="0094645C" w:rsidRDefault="0094645C" w:rsidP="0094645C">
      <w:r w:rsidRPr="0094645C">
        <w:lastRenderedPageBreak/>
        <w:t>Tempo zlepšování velkých jazykových modelů je ohromující a umělá inteligence se stále více prosazuje v různých aplikacích a odvětvích. Na rozdíl od minulých cyklů, kdy poptávku poháněla spotřební elektronika, je současný „supercyklus“ poháněn závodem v kapitálových výdajích mezi některými z největších společností na světě, které všechny soupeří o vedoucí postavení v této oblasti.</w:t>
      </w:r>
    </w:p>
    <w:p w14:paraId="1350F624" w14:textId="77777777" w:rsidR="0094645C" w:rsidRPr="0094645C" w:rsidRDefault="0094645C" w:rsidP="0094645C">
      <w:r w:rsidRPr="0094645C">
        <w:t xml:space="preserve">Přestože akcie dosahují nových maxim, rostou obavy ohledně trvání této </w:t>
      </w:r>
      <w:proofErr w:type="spellStart"/>
      <w:r w:rsidRPr="0094645C">
        <w:t>rally</w:t>
      </w:r>
      <w:proofErr w:type="spellEnd"/>
      <w:r w:rsidRPr="0094645C">
        <w:t>. Vzhledem k vysokým ziskům a koncentraci trhu je tento sektor náchylný k výkyvům, pokud by poptávka po AI ochabla nebo by kapitálové výdaje zpomalily. Je vcelku pravděpodobné, že nás ještě čeká další růst těchto akcií, v blízké budoucnosti je však třeba dávat pozor na volatilitu.</w:t>
      </w:r>
    </w:p>
    <w:p w14:paraId="23FF6D6A" w14:textId="77777777" w:rsidR="0094645C" w:rsidRPr="0094645C" w:rsidRDefault="0094645C" w:rsidP="0094645C">
      <w:r w:rsidRPr="0094645C">
        <w:rPr>
          <w:b/>
          <w:bCs/>
        </w:rPr>
        <w:t>Rostoucí technologická síla Číny</w:t>
      </w:r>
    </w:p>
    <w:p w14:paraId="1915470A" w14:textId="77777777" w:rsidR="0094645C" w:rsidRPr="0094645C" w:rsidRDefault="0094645C" w:rsidP="0094645C">
      <w:r w:rsidRPr="0094645C">
        <w:t xml:space="preserve">Čím dál větší hodnotu spatřujeme v čínských hardwarových firmách, které se staly dominantní silou na poli fyzického obchodu s AI. Inovace přibývají, podporovány rostoucími investicemi do výzkumu a vývoje a obrovskou zásobou talentů v Číně. Domácí giganti, jako jsou výrobci průmyslových robotů a polovodičů, získávají stále vyšší podíl na místním trhu na úkor zahraničních konkurentů, k čemuž přispívá i snaha vlády o technologickou a dodavatelskou soběstačnost. </w:t>
      </w:r>
    </w:p>
    <w:p w14:paraId="605301B4" w14:textId="588224A4" w:rsidR="0094645C" w:rsidRPr="0094645C" w:rsidRDefault="0094645C" w:rsidP="0094645C">
      <w:r w:rsidRPr="0094645C">
        <w:t>My</w:t>
      </w:r>
      <w:r w:rsidR="00B22F29">
        <w:t xml:space="preserve"> ve </w:t>
      </w:r>
      <w:proofErr w:type="spellStart"/>
      <w:r w:rsidR="00186F1D">
        <w:t>Fidelity</w:t>
      </w:r>
      <w:proofErr w:type="spellEnd"/>
      <w:r w:rsidR="00186F1D">
        <w:t xml:space="preserve"> </w:t>
      </w:r>
      <w:proofErr w:type="spellStart"/>
      <w:r w:rsidR="00186F1D">
        <w:t>Internatiobal</w:t>
      </w:r>
      <w:proofErr w:type="spellEnd"/>
      <w:r w:rsidRPr="0094645C">
        <w:t xml:space="preserve"> upřednostňujeme technologické akcie kótované na pevninské burze, kde převažují výrobci hardwaru. Mají jasnější ziskový výhled než čínské internetové společnosti kótované v Hongkongu, které jsou více závislé na oživení spotřeby v Číně a na tom, zda ustoupí tvrdá konkurence, kterou je tento sektor charakteristický.</w:t>
      </w:r>
    </w:p>
    <w:p w14:paraId="6B7543A2" w14:textId="77777777" w:rsidR="0094645C" w:rsidRPr="0094645C" w:rsidRDefault="0094645C" w:rsidP="0094645C">
      <w:r w:rsidRPr="0094645C">
        <w:t>Čína je také významnou součástí globálního koše, do kterého investujeme a který jsme zkonstruovali na základě tématu globální energetické transformace.</w:t>
      </w:r>
    </w:p>
    <w:p w14:paraId="0CB0979D" w14:textId="77777777" w:rsidR="0094645C" w:rsidRPr="0094645C" w:rsidRDefault="0094645C" w:rsidP="0094645C">
      <w:r w:rsidRPr="0094645C">
        <w:t xml:space="preserve">Vývoz baterií, solárních panelů a elektromobilů z Číny rychle rostl – a to ještě před konfliktem s Íránem. Krize v </w:t>
      </w:r>
      <w:proofErr w:type="spellStart"/>
      <w:r w:rsidRPr="0094645C">
        <w:t>Hormuzském</w:t>
      </w:r>
      <w:proofErr w:type="spellEnd"/>
      <w:r w:rsidRPr="0094645C">
        <w:t xml:space="preserve"> průlivu nyní nutí vlády ve střednědobém horizontu urychlit přechod na obnovitelné zdroje energie. A právě z této celosvětově rostoucí poptávky by měl těžit strukturálně silný čínský export ekologických produktů. Konkrétně jsme optimističtí jak ohledně čínských výrobců baterií pro elektromobily, tak ohledně výrobců energetických přenosových zařízení.</w:t>
      </w:r>
    </w:p>
    <w:p w14:paraId="6DB51BF4" w14:textId="77777777" w:rsidR="0094645C" w:rsidRPr="0094645C" w:rsidRDefault="0094645C" w:rsidP="0094645C">
      <w:pPr>
        <w:rPr>
          <w:b/>
          <w:bCs/>
        </w:rPr>
      </w:pPr>
      <w:r w:rsidRPr="0094645C">
        <w:rPr>
          <w:b/>
          <w:bCs/>
        </w:rPr>
        <w:t>Čínský „zelený“ export zrychluje na vlně globální energetické transformace</w:t>
      </w:r>
    </w:p>
    <w:p w14:paraId="57FE4923" w14:textId="5187B3C3" w:rsidR="0094645C" w:rsidRPr="0094645C" w:rsidRDefault="0094645C" w:rsidP="0094645C">
      <w:r w:rsidRPr="0094645C">
        <w:rPr>
          <w:noProof/>
        </w:rPr>
        <w:lastRenderedPageBreak/>
        <w:drawing>
          <wp:anchor distT="0" distB="0" distL="114300" distR="114300" simplePos="0" relativeHeight="251659264" behindDoc="0" locked="0" layoutInCell="1" allowOverlap="1" wp14:anchorId="6ADB6BA8" wp14:editId="17C08BEE">
            <wp:simplePos x="0" y="0"/>
            <wp:positionH relativeFrom="column">
              <wp:posOffset>-130810</wp:posOffset>
            </wp:positionH>
            <wp:positionV relativeFrom="paragraph">
              <wp:posOffset>266700</wp:posOffset>
            </wp:positionV>
            <wp:extent cx="5715000" cy="2951018"/>
            <wp:effectExtent l="0" t="0" r="0" b="1905"/>
            <wp:wrapSquare wrapText="bothSides"/>
            <wp:docPr id="20321403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2">
                      <a:extLst>
                        <a:ext uri="{28A0092B-C50C-407E-A947-70E740481C1C}">
                          <a14:useLocalDpi xmlns:a14="http://schemas.microsoft.com/office/drawing/2010/main" val="0"/>
                        </a:ext>
                      </a:extLst>
                    </a:blip>
                    <a:srcRect t="12799" b="9746"/>
                    <a:stretch>
                      <a:fillRect/>
                    </a:stretch>
                  </pic:blipFill>
                  <pic:spPr bwMode="auto">
                    <a:xfrm>
                      <a:off x="0" y="0"/>
                      <a:ext cx="5715000" cy="2951018"/>
                    </a:xfrm>
                    <a:prstGeom prst="rect">
                      <a:avLst/>
                    </a:prstGeom>
                    <a:noFill/>
                    <a:ln>
                      <a:noFill/>
                    </a:ln>
                    <a:extLst>
                      <a:ext uri="{53640926-AAD7-44D8-BBD7-CCE9431645EC}">
                        <a14:shadowObscured xmlns:a14="http://schemas.microsoft.com/office/drawing/2010/main"/>
                      </a:ext>
                    </a:extLst>
                  </pic:spPr>
                </pic:pic>
              </a:graphicData>
            </a:graphic>
          </wp:anchor>
        </w:drawing>
      </w:r>
    </w:p>
    <w:p w14:paraId="5148BA53" w14:textId="6D7C3845" w:rsidR="0094645C" w:rsidRPr="0094645C" w:rsidRDefault="0094645C" w:rsidP="0094645C">
      <w:pPr>
        <w:rPr>
          <w:sz w:val="18"/>
          <w:szCs w:val="18"/>
        </w:rPr>
      </w:pPr>
      <w:r w:rsidRPr="0094645C">
        <w:rPr>
          <w:sz w:val="18"/>
          <w:szCs w:val="18"/>
        </w:rPr>
        <w:t xml:space="preserve">Zdroj: Čínská celní správa, </w:t>
      </w:r>
      <w:proofErr w:type="spellStart"/>
      <w:r w:rsidRPr="0094645C">
        <w:rPr>
          <w:sz w:val="18"/>
          <w:szCs w:val="18"/>
        </w:rPr>
        <w:t>Macrobond</w:t>
      </w:r>
      <w:proofErr w:type="spellEnd"/>
      <w:r w:rsidRPr="0094645C">
        <w:rPr>
          <w:sz w:val="18"/>
          <w:szCs w:val="18"/>
        </w:rPr>
        <w:t xml:space="preserve">, </w:t>
      </w:r>
      <w:proofErr w:type="spellStart"/>
      <w:r w:rsidRPr="0094645C">
        <w:rPr>
          <w:sz w:val="18"/>
          <w:szCs w:val="18"/>
        </w:rPr>
        <w:t>Fidelity</w:t>
      </w:r>
      <w:proofErr w:type="spellEnd"/>
      <w:r w:rsidRPr="0094645C">
        <w:rPr>
          <w:sz w:val="18"/>
          <w:szCs w:val="18"/>
        </w:rPr>
        <w:t xml:space="preserve"> International, květen 2026</w:t>
      </w:r>
    </w:p>
    <w:p w14:paraId="6E20F098" w14:textId="0360D8C8" w:rsidR="0094645C" w:rsidRPr="0094645C" w:rsidRDefault="0094645C" w:rsidP="0094645C">
      <w:r w:rsidRPr="0094645C">
        <w:rPr>
          <w:b/>
          <w:bCs/>
        </w:rPr>
        <w:t>Japonské společnosti střední kapitalizace: těží z domácí poptávky</w:t>
      </w:r>
    </w:p>
    <w:p w14:paraId="00BAED63" w14:textId="77777777" w:rsidR="0094645C" w:rsidRPr="0094645C" w:rsidRDefault="0094645C" w:rsidP="0094645C">
      <w:r w:rsidRPr="0094645C">
        <w:t>Menší japonské společnosti, které jsou zahraničním investorům méně známé než jejich větší konkurenti, jako jsou například automobilky, začínají překonávat výkonnost širšího trhu. Dařit by se mělo firmám se střední kapitalizací: jsou více orientovány na domácí trh, a tedy méně ovlivněny geopolitickými otřesy, a jsou v lepší pozici, aby využily trendu oživující domácí poptávky. Přestože mají vyšší ziskový růstový potenciál, jejich ocenění je níže než celkový tržní průměr, což zvyšuje jejich atraktivitu.</w:t>
      </w:r>
    </w:p>
    <w:p w14:paraId="1E318D50" w14:textId="77777777" w:rsidR="0094645C" w:rsidRPr="0094645C" w:rsidRDefault="0094645C" w:rsidP="0094645C"/>
    <w:p w14:paraId="6E06FF31" w14:textId="4FF59A26" w:rsidR="0094645C" w:rsidRPr="0094645C" w:rsidRDefault="0094645C" w:rsidP="0094645C"/>
    <w:p w14:paraId="1D78EAEF" w14:textId="77777777" w:rsidR="0094645C" w:rsidRPr="0094645C" w:rsidRDefault="0094645C" w:rsidP="0094645C"/>
    <w:p w14:paraId="42D992E3" w14:textId="6711C09B" w:rsidR="0094645C" w:rsidRPr="0094645C" w:rsidRDefault="0094645C" w:rsidP="0094645C"/>
    <w:p w14:paraId="2FE4F3EB" w14:textId="2F42ABA7" w:rsidR="0094645C" w:rsidRPr="0094645C" w:rsidRDefault="0094645C" w:rsidP="0094645C"/>
    <w:p w14:paraId="27B4D918" w14:textId="77777777" w:rsidR="0094645C" w:rsidRDefault="0094645C">
      <w:pPr>
        <w:spacing w:before="0" w:line="240" w:lineRule="auto"/>
        <w:jc w:val="left"/>
      </w:pPr>
      <w:r>
        <w:br w:type="page"/>
      </w:r>
    </w:p>
    <w:p w14:paraId="3AA1448E" w14:textId="6DD1E115" w:rsidR="0094645C" w:rsidRPr="0094645C" w:rsidRDefault="0094645C" w:rsidP="0094645C">
      <w:pPr>
        <w:spacing w:before="0" w:line="240" w:lineRule="auto"/>
        <w:jc w:val="left"/>
      </w:pPr>
      <w:r w:rsidRPr="0094645C">
        <w:rPr>
          <w:b/>
          <w:bCs/>
        </w:rPr>
        <w:lastRenderedPageBreak/>
        <w:t xml:space="preserve">Japonské </w:t>
      </w:r>
      <w:proofErr w:type="spellStart"/>
      <w:r w:rsidRPr="0094645C">
        <w:rPr>
          <w:b/>
          <w:bCs/>
        </w:rPr>
        <w:t>mid</w:t>
      </w:r>
      <w:proofErr w:type="spellEnd"/>
      <w:r w:rsidRPr="0094645C">
        <w:rPr>
          <w:b/>
          <w:bCs/>
        </w:rPr>
        <w:t xml:space="preserve">-cap společnosti nabízejí vyšší potenciál růstu zisků než širší trh </w:t>
      </w:r>
    </w:p>
    <w:p w14:paraId="57CFBE92" w14:textId="126B92DD" w:rsidR="0094645C" w:rsidRPr="0094645C" w:rsidRDefault="0094645C" w:rsidP="0094645C">
      <w:pPr>
        <w:rPr>
          <w:b/>
          <w:bCs/>
        </w:rPr>
      </w:pPr>
      <w:r w:rsidRPr="0094645C">
        <w:rPr>
          <w:b/>
          <w:bCs/>
        </w:rPr>
        <w:t xml:space="preserve">Růst 12měsíčních forwardových zisků </w:t>
      </w:r>
      <w:r w:rsidRPr="0094645C">
        <w:rPr>
          <w:b/>
          <w:bCs/>
        </w:rPr>
        <w:tab/>
      </w:r>
      <w:r w:rsidRPr="0094645C">
        <w:rPr>
          <w:b/>
          <w:bCs/>
        </w:rPr>
        <w:tab/>
      </w:r>
      <w:r w:rsidRPr="0094645C">
        <w:rPr>
          <w:b/>
          <w:bCs/>
        </w:rPr>
        <w:tab/>
        <w:t>12měsíční forwardové P/E</w:t>
      </w:r>
    </w:p>
    <w:p w14:paraId="57CECFB6" w14:textId="0A4ED83E" w:rsidR="0094645C" w:rsidRPr="0094645C" w:rsidRDefault="0094645C" w:rsidP="0094645C"/>
    <w:p w14:paraId="34036FCE" w14:textId="7D893641" w:rsidR="0094645C" w:rsidRPr="0094645C" w:rsidRDefault="0094645C" w:rsidP="0094645C">
      <w:pPr>
        <w:rPr>
          <w:sz w:val="18"/>
          <w:szCs w:val="18"/>
        </w:rPr>
      </w:pPr>
      <w:r w:rsidRPr="0094645C">
        <w:rPr>
          <w:noProof/>
          <w:sz w:val="18"/>
          <w:szCs w:val="18"/>
        </w:rPr>
        <w:drawing>
          <wp:anchor distT="0" distB="0" distL="114300" distR="114300" simplePos="0" relativeHeight="251660288" behindDoc="0" locked="0" layoutInCell="1" allowOverlap="1" wp14:anchorId="59F12219" wp14:editId="106FEAB6">
            <wp:simplePos x="0" y="0"/>
            <wp:positionH relativeFrom="column">
              <wp:posOffset>-107293</wp:posOffset>
            </wp:positionH>
            <wp:positionV relativeFrom="paragraph">
              <wp:posOffset>0</wp:posOffset>
            </wp:positionV>
            <wp:extent cx="5731253" cy="2237509"/>
            <wp:effectExtent l="0" t="0" r="3175" b="0"/>
            <wp:wrapSquare wrapText="bothSides"/>
            <wp:docPr id="26430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34238" name=""/>
                    <pic:cNvPicPr/>
                  </pic:nvPicPr>
                  <pic:blipFill rotWithShape="1">
                    <a:blip r:embed="rId13" cstate="print">
                      <a:extLst>
                        <a:ext uri="{28A0092B-C50C-407E-A947-70E740481C1C}">
                          <a14:useLocalDpi xmlns:a14="http://schemas.microsoft.com/office/drawing/2010/main" val="0"/>
                        </a:ext>
                      </a:extLst>
                    </a:blip>
                    <a:srcRect t="17592" b="10479"/>
                    <a:stretch>
                      <a:fillRect/>
                    </a:stretch>
                  </pic:blipFill>
                  <pic:spPr bwMode="auto">
                    <a:xfrm>
                      <a:off x="0" y="0"/>
                      <a:ext cx="5731253" cy="2237509"/>
                    </a:xfrm>
                    <a:prstGeom prst="rect">
                      <a:avLst/>
                    </a:prstGeom>
                    <a:ln>
                      <a:noFill/>
                    </a:ln>
                    <a:extLst>
                      <a:ext uri="{53640926-AAD7-44D8-BBD7-CCE9431645EC}">
                        <a14:shadowObscured xmlns:a14="http://schemas.microsoft.com/office/drawing/2010/main"/>
                      </a:ext>
                    </a:extLst>
                  </pic:spPr>
                </pic:pic>
              </a:graphicData>
            </a:graphic>
          </wp:anchor>
        </w:drawing>
      </w:r>
      <w:r w:rsidRPr="0094645C">
        <w:rPr>
          <w:sz w:val="18"/>
          <w:szCs w:val="18"/>
        </w:rPr>
        <w:t xml:space="preserve">Zdroj: LSEG </w:t>
      </w:r>
      <w:proofErr w:type="spellStart"/>
      <w:r w:rsidRPr="0094645C">
        <w:rPr>
          <w:sz w:val="18"/>
          <w:szCs w:val="18"/>
        </w:rPr>
        <w:t>Datastream</w:t>
      </w:r>
      <w:proofErr w:type="spellEnd"/>
      <w:r w:rsidRPr="0094645C">
        <w:rPr>
          <w:sz w:val="18"/>
          <w:szCs w:val="18"/>
        </w:rPr>
        <w:t xml:space="preserve">, </w:t>
      </w:r>
      <w:proofErr w:type="spellStart"/>
      <w:r w:rsidRPr="0094645C">
        <w:rPr>
          <w:sz w:val="18"/>
          <w:szCs w:val="18"/>
        </w:rPr>
        <w:t>Fidelity</w:t>
      </w:r>
      <w:proofErr w:type="spellEnd"/>
      <w:r w:rsidRPr="0094645C">
        <w:rPr>
          <w:sz w:val="18"/>
          <w:szCs w:val="18"/>
        </w:rPr>
        <w:t xml:space="preserve"> International, květen 2026</w:t>
      </w:r>
    </w:p>
    <w:p w14:paraId="02E500E4" w14:textId="0EFC3BA7" w:rsidR="0094645C" w:rsidRPr="0094645C" w:rsidRDefault="0094645C" w:rsidP="0094645C">
      <w:r w:rsidRPr="0094645C">
        <w:t xml:space="preserve">Menší kótované společnosti rovněž čelí tlaku ze strany regulátorů, aby posílily své tržní ocenění a zlepšily výnosy pro akcionáře. S prohlubováním reforem </w:t>
      </w:r>
      <w:proofErr w:type="spellStart"/>
      <w:r w:rsidRPr="0094645C">
        <w:t>corporate</w:t>
      </w:r>
      <w:proofErr w:type="spellEnd"/>
      <w:r w:rsidRPr="0094645C">
        <w:t xml:space="preserve"> </w:t>
      </w:r>
      <w:proofErr w:type="spellStart"/>
      <w:r w:rsidRPr="0094645C">
        <w:t>governance</w:t>
      </w:r>
      <w:proofErr w:type="spellEnd"/>
      <w:r w:rsidRPr="0094645C">
        <w:t xml:space="preserve"> v Japonsku očekáváme pozitivní změny u rostoucího počtu společností, zejména těch menších.</w:t>
      </w:r>
    </w:p>
    <w:p w14:paraId="265FD025" w14:textId="77777777" w:rsidR="0094645C" w:rsidRPr="0094645C" w:rsidRDefault="0094645C" w:rsidP="0094645C">
      <w:r w:rsidRPr="0094645C">
        <w:t>Samozřejmě tu jsou i dílčí problémy. Vysoké ceny ropy zvyšují nejistotu ohledně načasování a rozsahu zvyšování úrokových sazeb. Přetrvávají například obavy ohledně udržitelnosti japonského dluhu a ochoty Japonské centrální banky (BOJ) předcházet inflaci, což by mohlo tlačit nahoru výnosy japonských státních dluhopisů. Trvalejší růst výnosů by mohl zvýšit diskontní sazbu akciím, srazit valuační násobky a zpřísnit finanční podmínky.</w:t>
      </w:r>
    </w:p>
    <w:p w14:paraId="44C0E074" w14:textId="60265AAF" w:rsidR="0094645C" w:rsidRPr="0094645C" w:rsidRDefault="0094645C" w:rsidP="0094645C">
      <w:r w:rsidRPr="0094645C">
        <w:rPr>
          <w:b/>
          <w:bCs/>
        </w:rPr>
        <w:t>Komodity a australský dolar</w:t>
      </w:r>
    </w:p>
    <w:p w14:paraId="366F97C9" w14:textId="3ACBA758" w:rsidR="0094645C" w:rsidRPr="0094645C" w:rsidRDefault="0094645C" w:rsidP="0094645C">
      <w:r w:rsidRPr="0094645C">
        <w:t>Komodity mohou sloužit jako užitečný prostředek diverzifikace portfolia v situaci, kdy korelace mezi akciemi a dluhopisy je vysoká a makroekonomický výhled nejistý. Komodity zůstávají také klíčovou metodou zajištění proti inflaci.</w:t>
      </w:r>
    </w:p>
    <w:p w14:paraId="721EC518" w14:textId="2291A765" w:rsidR="0094645C" w:rsidRPr="0094645C" w:rsidRDefault="0094645C" w:rsidP="0094645C">
      <w:r w:rsidRPr="0094645C">
        <w:t>Zvýšený zájem investorů o komodity bude přát australskému dolaru, vzhledem k tomu, že země je významným čistým vývozcem uhlí, zkapalněného zemního plynu a dalších surovin. Mimochodem, Australský dolar byl v uplynulých šesti měsících nejvýkonnější měnou skupiny G10.</w:t>
      </w:r>
      <w:r w:rsidRPr="0094645C">
        <w:rPr>
          <w:vertAlign w:val="superscript"/>
        </w:rPr>
        <w:footnoteReference w:id="2"/>
      </w:r>
    </w:p>
    <w:p w14:paraId="217C2A13" w14:textId="77777777" w:rsidR="0094645C" w:rsidRPr="0094645C" w:rsidRDefault="0094645C" w:rsidP="0094645C">
      <w:r w:rsidRPr="0094645C">
        <w:t>Australská měna se může také opřít o silnou domácí ekonomiku, jestřábí naladění Australské centrální banky a rozdílů v její politice oproti Federálnímu rezervnímu systému. Na druhou stranu však zůstáváme ostražití k rostoucím rizikům pro hospodářský růst či nižší než očekávané inflaci, které by mohly oživení překazit.</w:t>
      </w:r>
    </w:p>
    <w:p w14:paraId="3366D439" w14:textId="77777777" w:rsidR="0094645C" w:rsidRPr="0094645C" w:rsidRDefault="0094645C" w:rsidP="0094645C">
      <w:r w:rsidRPr="0094645C">
        <w:rPr>
          <w:b/>
          <w:bCs/>
        </w:rPr>
        <w:t>Další vývoj v politické oblasti</w:t>
      </w:r>
    </w:p>
    <w:p w14:paraId="0AE866D4" w14:textId="2EB91FC3" w:rsidR="0094645C" w:rsidRPr="0094645C" w:rsidRDefault="0094645C" w:rsidP="0094645C">
      <w:r w:rsidRPr="0094645C">
        <w:lastRenderedPageBreak/>
        <w:t xml:space="preserve">Cesta k řešení situace v Perském zálivu bude pravděpodobně dlouhá a trnitá. Největším rizikem pro Asii je dlouhodobé uzavření </w:t>
      </w:r>
      <w:proofErr w:type="spellStart"/>
      <w:r w:rsidRPr="0094645C">
        <w:t>Hormuzského</w:t>
      </w:r>
      <w:proofErr w:type="spellEnd"/>
      <w:r w:rsidRPr="0094645C">
        <w:t xml:space="preserve"> průlivu, což by podpořilo celkovou inflaci v Asii a zatížilo zdejší ekonomiky.</w:t>
      </w:r>
    </w:p>
    <w:p w14:paraId="10BD7782" w14:textId="77777777" w:rsidR="0094645C" w:rsidRPr="0094645C" w:rsidRDefault="0094645C" w:rsidP="0094645C">
      <w:r w:rsidRPr="0094645C">
        <w:t xml:space="preserve">Nejistota panuje také ohledně měnové politiky </w:t>
      </w:r>
      <w:proofErr w:type="spellStart"/>
      <w:r w:rsidRPr="0094645C">
        <w:t>Fedu</w:t>
      </w:r>
      <w:proofErr w:type="spellEnd"/>
      <w:r w:rsidRPr="0094645C">
        <w:t>. Pokud Fed zvýší úrokové sazby, mohlo by to zkomplikovat situaci asijským centrálním bankám, které již nyní řeší dilema mezi snižováním úrokových sazeb na podporu růstu a jejich udržováním výše za účelem obrany proti oslabení měny a boje proti importované inflaci.</w:t>
      </w:r>
    </w:p>
    <w:p w14:paraId="4F9E7B4F" w14:textId="77777777" w:rsidR="0094645C" w:rsidRPr="0094645C" w:rsidRDefault="0094645C" w:rsidP="0094645C">
      <w:r w:rsidRPr="0094645C">
        <w:t>Stručně řečeno, rozmanité makro nám bude dělat společnost i po zbytek roku 2026. To s sebou nese na jednu stranu jasná rizika, ale také zajímavé příležitosti pro investory v tomto regionu i mimo něj.</w:t>
      </w:r>
    </w:p>
    <w:p w14:paraId="204DF694" w14:textId="77777777" w:rsidR="00361FE1" w:rsidRPr="00361FE1" w:rsidRDefault="00361FE1" w:rsidP="00361FE1"/>
    <w:p w14:paraId="3EE095C8" w14:textId="77777777" w:rsidR="00362096" w:rsidRPr="003B4C8C" w:rsidRDefault="00362096" w:rsidP="00362096">
      <w:r w:rsidRPr="003B4C8C">
        <w:rPr>
          <w:b/>
          <w:bCs/>
        </w:rPr>
        <w:t>Pro více informací kontaktujte:</w:t>
      </w:r>
    </w:p>
    <w:p w14:paraId="48DEF66B" w14:textId="77777777" w:rsidR="00362096" w:rsidRPr="003B4C8C" w:rsidRDefault="00362096" w:rsidP="00362096">
      <w:r w:rsidRPr="003B4C8C">
        <w:rPr>
          <w:b/>
          <w:bCs/>
        </w:rPr>
        <w:t>Eliška Krohová</w:t>
      </w:r>
    </w:p>
    <w:p w14:paraId="2CA03BC4" w14:textId="77777777" w:rsidR="00362096" w:rsidRPr="003B4C8C" w:rsidRDefault="00362096" w:rsidP="00362096">
      <w:r w:rsidRPr="003B4C8C">
        <w:rPr>
          <w:b/>
          <w:bCs/>
        </w:rPr>
        <w:t>Crest Communications, a.s.</w:t>
      </w:r>
    </w:p>
    <w:p w14:paraId="1A21A054" w14:textId="77777777" w:rsidR="00362096" w:rsidRPr="003B4C8C" w:rsidRDefault="00362096" w:rsidP="00362096">
      <w:r w:rsidRPr="003B4C8C">
        <w:t>Ostrovní 126/30</w:t>
      </w:r>
    </w:p>
    <w:p w14:paraId="17106CFE" w14:textId="77777777" w:rsidR="00362096" w:rsidRPr="003B4C8C" w:rsidRDefault="00362096" w:rsidP="00362096">
      <w:r w:rsidRPr="003B4C8C">
        <w:t>110 00 Praha 1</w:t>
      </w:r>
    </w:p>
    <w:p w14:paraId="6C3201C5" w14:textId="77777777" w:rsidR="00362096" w:rsidRPr="003B4C8C" w:rsidRDefault="00362096" w:rsidP="00362096">
      <w:proofErr w:type="spellStart"/>
      <w:r w:rsidRPr="003B4C8C">
        <w:t>gsm</w:t>
      </w:r>
      <w:proofErr w:type="spellEnd"/>
      <w:r w:rsidRPr="003B4C8C">
        <w:t>: + 420 720 406 659</w:t>
      </w:r>
    </w:p>
    <w:p w14:paraId="557AD6EE" w14:textId="77777777" w:rsidR="00362096" w:rsidRPr="003B4C8C" w:rsidRDefault="00362096" w:rsidP="00362096">
      <w:r w:rsidRPr="003B4C8C">
        <w:t>e-mail: </w:t>
      </w:r>
      <w:hyperlink r:id="rId14" w:tgtFrame="_blank" w:history="1">
        <w:r w:rsidRPr="003B4C8C">
          <w:rPr>
            <w:rStyle w:val="Hypertextovodkaz"/>
          </w:rPr>
          <w:t>eliska.krohova@crestcom.cz</w:t>
        </w:r>
      </w:hyperlink>
    </w:p>
    <w:p w14:paraId="649445BF" w14:textId="77777777" w:rsidR="00362096" w:rsidRPr="003B4C8C" w:rsidRDefault="00362096" w:rsidP="00362096">
      <w:r w:rsidRPr="003B4C8C">
        <w:rPr>
          <w:b/>
          <w:bCs/>
        </w:rPr>
        <w:t>Informace pro editory:</w:t>
      </w:r>
    </w:p>
    <w:p w14:paraId="27448FB3" w14:textId="77777777" w:rsidR="00362096" w:rsidRPr="003B4C8C" w:rsidRDefault="00362096" w:rsidP="00362096">
      <w:proofErr w:type="spellStart"/>
      <w:r w:rsidRPr="003B4C8C">
        <w:rPr>
          <w:b/>
          <w:bCs/>
        </w:rPr>
        <w:t>Fidelity</w:t>
      </w:r>
      <w:proofErr w:type="spellEnd"/>
      <w:r w:rsidRPr="003B4C8C">
        <w:rPr>
          <w:b/>
          <w:bCs/>
        </w:rPr>
        <w:t xml:space="preserve"> International </w:t>
      </w:r>
      <w:r w:rsidRPr="003B4C8C">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3B4C8C">
        <w:t>assets</w:t>
      </w:r>
      <w:proofErr w:type="spellEnd"/>
      <w:r w:rsidRPr="003B4C8C">
        <w:t xml:space="preserve"> </w:t>
      </w:r>
      <w:proofErr w:type="spellStart"/>
      <w:r w:rsidRPr="003B4C8C">
        <w:t>under</w:t>
      </w:r>
      <w:proofErr w:type="spellEnd"/>
      <w:r w:rsidRPr="003B4C8C">
        <w:t xml:space="preserve"> </w:t>
      </w:r>
      <w:proofErr w:type="spellStart"/>
      <w:r w:rsidRPr="003B4C8C">
        <w:t>administration</w:t>
      </w:r>
      <w:proofErr w:type="spellEnd"/>
      <w:r w:rsidRPr="003B4C8C">
        <w:t xml:space="preserve">) a globálně pro klienty investovala 290 mld. USD ve 25 zemích napříč Evropou, Asií, Tichomořím, středním Východem a jižní Amerikou. V České republice </w:t>
      </w:r>
      <w:proofErr w:type="spellStart"/>
      <w:r w:rsidRPr="003B4C8C">
        <w:t>Fidelity</w:t>
      </w:r>
      <w:proofErr w:type="spellEnd"/>
      <w:r w:rsidRPr="003B4C8C">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0C497B4E" w14:textId="77777777" w:rsidR="00362096" w:rsidRPr="003B4C8C" w:rsidRDefault="00362096" w:rsidP="00362096">
      <w:r w:rsidRPr="003B4C8C">
        <w:rPr>
          <w:b/>
          <w:bCs/>
        </w:rPr>
        <w:t>Důležité upozornění</w:t>
      </w:r>
    </w:p>
    <w:p w14:paraId="7A0C186E" w14:textId="77777777" w:rsidR="00362096" w:rsidRPr="003B4C8C" w:rsidRDefault="00362096" w:rsidP="00362096">
      <w:r w:rsidRPr="003B4C8C">
        <w:t>Toto je propagační materiál. Tento dokument nesmí být bez předchozího souhlasu rozmnožován nebo rozšiřován.</w:t>
      </w:r>
    </w:p>
    <w:p w14:paraId="3D121D89" w14:textId="77777777" w:rsidR="00362096" w:rsidRPr="003B4C8C" w:rsidRDefault="00362096" w:rsidP="00362096">
      <w:proofErr w:type="spellStart"/>
      <w:r w:rsidRPr="003B4C8C">
        <w:lastRenderedPageBreak/>
        <w:t>Fidelity</w:t>
      </w:r>
      <w:proofErr w:type="spellEnd"/>
      <w:r w:rsidRPr="003B4C8C">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7B03E80F" w14:textId="77777777" w:rsidR="00362096" w:rsidRPr="003B4C8C" w:rsidRDefault="00362096" w:rsidP="00362096">
      <w:r w:rsidRPr="003B4C8C">
        <w:t xml:space="preserve">Jako </w:t>
      </w:r>
      <w:proofErr w:type="spellStart"/>
      <w:r w:rsidRPr="003B4C8C">
        <w:t>Fidelity</w:t>
      </w:r>
      <w:proofErr w:type="spellEnd"/>
      <w:r w:rsidRPr="003B4C8C">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5FEA78BD" w14:textId="77777777" w:rsidR="00362096" w:rsidRPr="003B4C8C" w:rsidRDefault="00362096" w:rsidP="00362096">
      <w:r w:rsidRPr="003B4C8C">
        <w:t xml:space="preserve">Všechny názory představují stanoviska společnosti </w:t>
      </w:r>
      <w:proofErr w:type="spellStart"/>
      <w:r w:rsidRPr="003B4C8C">
        <w:t>Fidelity</w:t>
      </w:r>
      <w:proofErr w:type="spellEnd"/>
      <w:r w:rsidRPr="003B4C8C">
        <w:t xml:space="preserve">, není-li uvedeno jinak. </w:t>
      </w:r>
      <w:proofErr w:type="spellStart"/>
      <w:r w:rsidRPr="003B4C8C">
        <w:t>Fidelity</w:t>
      </w:r>
      <w:proofErr w:type="spellEnd"/>
      <w:r w:rsidRPr="003B4C8C">
        <w:t xml:space="preserve">, </w:t>
      </w:r>
      <w:proofErr w:type="spellStart"/>
      <w:r w:rsidRPr="003B4C8C">
        <w:t>Fidelity</w:t>
      </w:r>
      <w:proofErr w:type="spellEnd"/>
      <w:r w:rsidRPr="003B4C8C">
        <w:t xml:space="preserve"> International a logo </w:t>
      </w:r>
      <w:proofErr w:type="spellStart"/>
      <w:r w:rsidRPr="003B4C8C">
        <w:t>Fidelity</w:t>
      </w:r>
      <w:proofErr w:type="spellEnd"/>
      <w:r w:rsidRPr="003B4C8C">
        <w:t xml:space="preserve"> International a symbol měny F jsou všechno ochrannými známkami společnosti FIL Limited.</w:t>
      </w:r>
    </w:p>
    <w:p w14:paraId="4126DD13" w14:textId="77777777" w:rsidR="00362096" w:rsidRPr="003B4C8C" w:rsidRDefault="00362096" w:rsidP="00362096">
      <w:r w:rsidRPr="003B4C8C">
        <w:t xml:space="preserve">Tento dokument nepředstavuje distribuci, nabídku nebo výzvu k využití služeb investiční správy společnosti </w:t>
      </w:r>
      <w:proofErr w:type="spellStart"/>
      <w:r w:rsidRPr="003B4C8C">
        <w:t>Fidelity</w:t>
      </w:r>
      <w:proofErr w:type="spellEnd"/>
      <w:r w:rsidRPr="003B4C8C">
        <w:t>, ani nabídku ke koupi, prodeji nebo výzvu k nabídce ke koupi nebo prodeji jakýchkoli cenných papírů v jakékoli jurisdikci nebo zemi, kde taková distribuce nebo nabídka není povolena či by byla v rozporu s místními zákony nebo předpisy.</w:t>
      </w:r>
    </w:p>
    <w:p w14:paraId="0AFC09C2" w14:textId="77777777" w:rsidR="00362096" w:rsidRPr="003B4C8C" w:rsidRDefault="00362096" w:rsidP="00362096">
      <w:r w:rsidRPr="003B4C8C">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rsidRPr="003B4C8C">
        <w:t>Fidelity</w:t>
      </w:r>
      <w:proofErr w:type="spellEnd"/>
      <w:r w:rsidRPr="003B4C8C">
        <w:t xml:space="preserve"> již mohla jednat. Průzkumy a analýzy použité v této dokumentaci shromažďuje společnost </w:t>
      </w:r>
      <w:proofErr w:type="spellStart"/>
      <w:r w:rsidRPr="003B4C8C">
        <w:t>Fidelity</w:t>
      </w:r>
      <w:proofErr w:type="spellEnd"/>
      <w:r w:rsidRPr="003B4C8C">
        <w:t xml:space="preserve"> pro své potřeby správce investic a je možné, že podle nich již bylo postupováno pro její vlastní účely. Tento materiál byl vytvořen společností </w:t>
      </w:r>
      <w:proofErr w:type="spellStart"/>
      <w:r w:rsidRPr="003B4C8C">
        <w:t>Fidelity</w:t>
      </w:r>
      <w:proofErr w:type="spellEnd"/>
      <w:r w:rsidRPr="003B4C8C">
        <w:t xml:space="preserve"> International.</w:t>
      </w:r>
    </w:p>
    <w:p w14:paraId="020F0184" w14:textId="77777777" w:rsidR="00362096" w:rsidRPr="003B4C8C" w:rsidRDefault="00362096" w:rsidP="00362096">
      <w:r w:rsidRPr="003B4C8C">
        <w:t>Minulá výkonnost není spolehlivým ukazatelem budoucích výsledků.</w:t>
      </w:r>
    </w:p>
    <w:p w14:paraId="14B9D49C" w14:textId="77777777" w:rsidR="00362096" w:rsidRPr="003B4C8C" w:rsidRDefault="00362096" w:rsidP="00362096">
      <w:r w:rsidRPr="003B4C8C">
        <w:t xml:space="preserve">Tento dokument může obsahovat materiály třetích stran, které jsou dodávány společnostmi, jež nejsou spojeny s žádným subjektem </w:t>
      </w:r>
      <w:proofErr w:type="spellStart"/>
      <w:r w:rsidRPr="003B4C8C">
        <w:t>Fidelity</w:t>
      </w:r>
      <w:proofErr w:type="spellEnd"/>
      <w:r w:rsidRPr="003B4C8C">
        <w:t xml:space="preserve"> (obsah třetích stran). Společnost </w:t>
      </w:r>
      <w:proofErr w:type="spellStart"/>
      <w:r w:rsidRPr="003B4C8C">
        <w:t>Fidelity</w:t>
      </w:r>
      <w:proofErr w:type="spellEnd"/>
      <w:r w:rsidRPr="003B4C8C">
        <w:t xml:space="preserve"> se nepodílela na přípravě, přijetí ani úpravě takových materiálů třetích stran a výslovně ani implicitně takový obsah neschvaluje ani nepodporovala.</w:t>
      </w:r>
    </w:p>
    <w:p w14:paraId="381E2C3B" w14:textId="77777777" w:rsidR="00362096" w:rsidRPr="003B4C8C" w:rsidRDefault="00362096" w:rsidP="00362096">
      <w:r w:rsidRPr="003B4C8C">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w:t>
      </w:r>
      <w:hyperlink r:id="rId15" w:tgtFrame="_blank" w:history="1">
        <w:r w:rsidRPr="003B4C8C">
          <w:rPr>
            <w:rStyle w:val="Hypertextovodkaz"/>
          </w:rPr>
          <w:t>https://www.fidelityinternational.com</w:t>
        </w:r>
      </w:hyperlink>
      <w:r w:rsidRPr="003B4C8C">
        <w:t xml:space="preserve"> nebo od našich </w:t>
      </w:r>
      <w:proofErr w:type="spellStart"/>
      <w:r w:rsidRPr="003B4C8C">
        <w:t>distributořů</w:t>
      </w:r>
      <w:proofErr w:type="spellEnd"/>
      <w:r w:rsidRPr="003B4C8C">
        <w:t xml:space="preserve"> a našeho evropského Centra služeb v Lucembursku, sídlící na adrese FIL (</w:t>
      </w:r>
      <w:proofErr w:type="spellStart"/>
      <w:r w:rsidRPr="003B4C8C">
        <w:t>Luxembourg</w:t>
      </w:r>
      <w:proofErr w:type="spellEnd"/>
      <w:r w:rsidRPr="003B4C8C">
        <w:t xml:space="preserve">) S.A. 2a, </w:t>
      </w:r>
      <w:proofErr w:type="spellStart"/>
      <w:r w:rsidRPr="003B4C8C">
        <w:t>rue</w:t>
      </w:r>
      <w:proofErr w:type="spellEnd"/>
      <w:r w:rsidRPr="003B4C8C">
        <w:t xml:space="preserve"> Albert </w:t>
      </w:r>
      <w:proofErr w:type="spellStart"/>
      <w:r w:rsidRPr="003B4C8C">
        <w:t>Borschette</w:t>
      </w:r>
      <w:proofErr w:type="spellEnd"/>
      <w:r w:rsidRPr="003B4C8C">
        <w:t xml:space="preserve"> BP 2174 L-1021 </w:t>
      </w:r>
      <w:proofErr w:type="spellStart"/>
      <w:r w:rsidRPr="003B4C8C">
        <w:t>Luxembourg</w:t>
      </w:r>
      <w:proofErr w:type="spellEnd"/>
      <w:r w:rsidRPr="003B4C8C">
        <w:t>.</w:t>
      </w:r>
    </w:p>
    <w:p w14:paraId="7893AFD1" w14:textId="77777777" w:rsidR="00362096" w:rsidRPr="003B4C8C" w:rsidRDefault="00362096" w:rsidP="00362096">
      <w:proofErr w:type="spellStart"/>
      <w:r w:rsidRPr="003B4C8C">
        <w:t>Fidelity</w:t>
      </w:r>
      <w:proofErr w:type="spellEnd"/>
      <w:r w:rsidRPr="003B4C8C">
        <w:t xml:space="preserve"> </w:t>
      </w:r>
      <w:proofErr w:type="spellStart"/>
      <w:r w:rsidRPr="003B4C8C">
        <w:t>Funds</w:t>
      </w:r>
      <w:proofErr w:type="spellEnd"/>
      <w:r w:rsidRPr="003B4C8C">
        <w:t xml:space="preserve"> "FF" je otevřená investiční společnost (SKIPCP) sídlící v Lucembursku, která disponuje akciemi různých tříd. Společnost FIL </w:t>
      </w:r>
      <w:proofErr w:type="spellStart"/>
      <w:r w:rsidRPr="003B4C8C">
        <w:t>Investment</w:t>
      </w:r>
      <w:proofErr w:type="spellEnd"/>
      <w:r w:rsidRPr="003B4C8C">
        <w:t xml:space="preserve"> Management (</w:t>
      </w:r>
      <w:proofErr w:type="spellStart"/>
      <w:r w:rsidRPr="003B4C8C">
        <w:t>Luxembourg</w:t>
      </w:r>
      <w:proofErr w:type="spellEnd"/>
      <w:r w:rsidRPr="003B4C8C">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rsidRPr="003B4C8C">
        <w:t>Lucembursku.Obchodní</w:t>
      </w:r>
      <w:proofErr w:type="spellEnd"/>
      <w:r w:rsidRPr="003B4C8C">
        <w:t xml:space="preserve"> známky třetích stran, autorská práva a další práva duševního vlastnictví zůstávají majetkem jejich konkrétních vlastníků.</w:t>
      </w:r>
    </w:p>
    <w:p w14:paraId="54CCE3B4" w14:textId="77777777" w:rsidR="00362096" w:rsidRPr="003B4C8C" w:rsidRDefault="00362096" w:rsidP="00362096">
      <w:r w:rsidRPr="003B4C8C">
        <w:lastRenderedPageBreak/>
        <w:t>Investoři a potenciální investoři mohou získat informace o svých právech ve spojení se stížnostmi a soudními spory na tomto odkazu: </w:t>
      </w:r>
      <w:hyperlink r:id="rId16" w:tgtFrame="_blank" w:history="1">
        <w:r w:rsidRPr="003B4C8C">
          <w:rPr>
            <w:rStyle w:val="Hypertextovodkaz"/>
          </w:rPr>
          <w:t>https://www.fidelity.cz</w:t>
        </w:r>
      </w:hyperlink>
      <w:r w:rsidRPr="003B4C8C">
        <w:t> (v češtině).</w:t>
      </w:r>
    </w:p>
    <w:p w14:paraId="5348571E" w14:textId="77777777" w:rsidR="00362096" w:rsidRDefault="00362096" w:rsidP="00362096"/>
    <w:p w14:paraId="032496E3" w14:textId="757E72E4" w:rsidR="00D20058" w:rsidRDefault="00A24F2C" w:rsidP="00A24F2C">
      <w:pPr>
        <w:pStyle w:val="F2-zkladn"/>
      </w:pPr>
      <w:r w:rsidRPr="00A24F2C">
        <w:rPr>
          <w:lang w:val="de-AT"/>
        </w:rPr>
        <w:t>MKAT13947</w:t>
      </w:r>
    </w:p>
    <w:sectPr w:rsidR="00D20058" w:rsidSect="00F50497">
      <w:headerReference w:type="default" r:id="rId17"/>
      <w:footerReference w:type="default" r:id="rId18"/>
      <w:headerReference w:type="first" r:id="rId19"/>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B2711" w14:textId="77777777" w:rsidR="007312CB" w:rsidRDefault="007312CB">
      <w:r>
        <w:separator/>
      </w:r>
    </w:p>
  </w:endnote>
  <w:endnote w:type="continuationSeparator" w:id="0">
    <w:p w14:paraId="36911B3B" w14:textId="77777777" w:rsidR="007312CB" w:rsidRDefault="00731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1D03A" w14:textId="77777777" w:rsidR="007312CB" w:rsidRDefault="007312CB">
      <w:r>
        <w:separator/>
      </w:r>
    </w:p>
  </w:footnote>
  <w:footnote w:type="continuationSeparator" w:id="0">
    <w:p w14:paraId="1860315E" w14:textId="77777777" w:rsidR="007312CB" w:rsidRDefault="007312CB">
      <w:r>
        <w:continuationSeparator/>
      </w:r>
    </w:p>
  </w:footnote>
  <w:footnote w:type="continuationNotice" w:id="1">
    <w:p w14:paraId="24FBE334" w14:textId="77777777" w:rsidR="007312CB" w:rsidRDefault="007312CB"/>
  </w:footnote>
  <w:footnote w:id="2">
    <w:p w14:paraId="6DBE6528" w14:textId="77777777" w:rsidR="0094645C" w:rsidRPr="0092635D" w:rsidRDefault="0094645C" w:rsidP="0094645C">
      <w:pPr>
        <w:pStyle w:val="Textpoznpodarou"/>
      </w:pPr>
      <w:r>
        <w:rPr>
          <w:rStyle w:val="Znakapoznpodarou"/>
        </w:rPr>
        <w:footnoteRef/>
      </w:r>
      <w:r>
        <w:t xml:space="preserve"> Data</w:t>
      </w:r>
      <w:r w:rsidRPr="006E235F">
        <w:t xml:space="preserve"> Bloomberg, k 27. květnu 2026</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3"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4"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5"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26A22E5"/>
    <w:multiLevelType w:val="hybridMultilevel"/>
    <w:tmpl w:val="C23AA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1"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07484830">
    <w:abstractNumId w:val="13"/>
  </w:num>
  <w:num w:numId="2" w16cid:durableId="1895313556">
    <w:abstractNumId w:val="20"/>
  </w:num>
  <w:num w:numId="3" w16cid:durableId="1213884590">
    <w:abstractNumId w:val="22"/>
  </w:num>
  <w:num w:numId="4" w16cid:durableId="249312893">
    <w:abstractNumId w:val="15"/>
  </w:num>
  <w:num w:numId="5" w16cid:durableId="315694586">
    <w:abstractNumId w:val="16"/>
  </w:num>
  <w:num w:numId="6" w16cid:durableId="108403674">
    <w:abstractNumId w:val="14"/>
  </w:num>
  <w:num w:numId="7" w16cid:durableId="604575006">
    <w:abstractNumId w:val="21"/>
  </w:num>
  <w:num w:numId="8" w16cid:durableId="2105804766">
    <w:abstractNumId w:val="17"/>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0"/>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2"/>
  </w:num>
  <w:num w:numId="21" w16cid:durableId="1864786788">
    <w:abstractNumId w:val="19"/>
  </w:num>
  <w:num w:numId="22" w16cid:durableId="907761201">
    <w:abstractNumId w:val="11"/>
  </w:num>
  <w:num w:numId="23" w16cid:durableId="672805101">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3232"/>
    <w:rsid w:val="00016492"/>
    <w:rsid w:val="00016EE5"/>
    <w:rsid w:val="00017E0A"/>
    <w:rsid w:val="00020F03"/>
    <w:rsid w:val="00021D97"/>
    <w:rsid w:val="0002277D"/>
    <w:rsid w:val="000237A9"/>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B7BA4"/>
    <w:rsid w:val="000C0E0E"/>
    <w:rsid w:val="000C17C8"/>
    <w:rsid w:val="000C34DC"/>
    <w:rsid w:val="000C4D6D"/>
    <w:rsid w:val="000C5471"/>
    <w:rsid w:val="000C727D"/>
    <w:rsid w:val="000C772F"/>
    <w:rsid w:val="000D122E"/>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6925"/>
    <w:rsid w:val="000E7127"/>
    <w:rsid w:val="000E73E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503B"/>
    <w:rsid w:val="00126B10"/>
    <w:rsid w:val="00127396"/>
    <w:rsid w:val="00127ED9"/>
    <w:rsid w:val="00130E22"/>
    <w:rsid w:val="00131B94"/>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6F1D"/>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5A93"/>
    <w:rsid w:val="001B69B7"/>
    <w:rsid w:val="001B7A52"/>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F1241"/>
    <w:rsid w:val="001F1A22"/>
    <w:rsid w:val="001F1ACC"/>
    <w:rsid w:val="001F297A"/>
    <w:rsid w:val="001F2C9A"/>
    <w:rsid w:val="001F4B06"/>
    <w:rsid w:val="001F5BD4"/>
    <w:rsid w:val="001F627F"/>
    <w:rsid w:val="001F65C1"/>
    <w:rsid w:val="002006D5"/>
    <w:rsid w:val="00201CD7"/>
    <w:rsid w:val="002027ED"/>
    <w:rsid w:val="00202F64"/>
    <w:rsid w:val="00203977"/>
    <w:rsid w:val="00206A7F"/>
    <w:rsid w:val="00206A9C"/>
    <w:rsid w:val="00210DA8"/>
    <w:rsid w:val="00210EEA"/>
    <w:rsid w:val="002127C7"/>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B59"/>
    <w:rsid w:val="00240FEC"/>
    <w:rsid w:val="0024226C"/>
    <w:rsid w:val="002423A0"/>
    <w:rsid w:val="002438EA"/>
    <w:rsid w:val="00243F5F"/>
    <w:rsid w:val="00245331"/>
    <w:rsid w:val="00245CA0"/>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3B67"/>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3975"/>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3325"/>
    <w:rsid w:val="002E497E"/>
    <w:rsid w:val="002E754C"/>
    <w:rsid w:val="002E76D1"/>
    <w:rsid w:val="002F0500"/>
    <w:rsid w:val="002F1160"/>
    <w:rsid w:val="002F3918"/>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400E"/>
    <w:rsid w:val="003172DF"/>
    <w:rsid w:val="003177AF"/>
    <w:rsid w:val="00317BF7"/>
    <w:rsid w:val="00320015"/>
    <w:rsid w:val="00321602"/>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1FE1"/>
    <w:rsid w:val="00362096"/>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999"/>
    <w:rsid w:val="003909E0"/>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4C8C"/>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D7BE4"/>
    <w:rsid w:val="003E03EB"/>
    <w:rsid w:val="003E0642"/>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6C38"/>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66DB"/>
    <w:rsid w:val="004D79D4"/>
    <w:rsid w:val="004E0978"/>
    <w:rsid w:val="004E14D9"/>
    <w:rsid w:val="004E1CB1"/>
    <w:rsid w:val="004E2D7E"/>
    <w:rsid w:val="004E4B6A"/>
    <w:rsid w:val="004E4ED5"/>
    <w:rsid w:val="004E6300"/>
    <w:rsid w:val="004F1DDB"/>
    <w:rsid w:val="004F2995"/>
    <w:rsid w:val="004F324F"/>
    <w:rsid w:val="004F4064"/>
    <w:rsid w:val="004F5136"/>
    <w:rsid w:val="004F5DCA"/>
    <w:rsid w:val="004F688F"/>
    <w:rsid w:val="004F74B4"/>
    <w:rsid w:val="004F7624"/>
    <w:rsid w:val="0050042A"/>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185"/>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F2A"/>
    <w:rsid w:val="005B33DF"/>
    <w:rsid w:val="005B55C1"/>
    <w:rsid w:val="005B6F85"/>
    <w:rsid w:val="005C00A9"/>
    <w:rsid w:val="005C17ED"/>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54B6"/>
    <w:rsid w:val="0061601E"/>
    <w:rsid w:val="0061643A"/>
    <w:rsid w:val="00617053"/>
    <w:rsid w:val="00617E2A"/>
    <w:rsid w:val="00620ECE"/>
    <w:rsid w:val="0062106A"/>
    <w:rsid w:val="0062230F"/>
    <w:rsid w:val="006226CD"/>
    <w:rsid w:val="00622E77"/>
    <w:rsid w:val="00623758"/>
    <w:rsid w:val="0062398C"/>
    <w:rsid w:val="00623C40"/>
    <w:rsid w:val="00624AE2"/>
    <w:rsid w:val="00624DDA"/>
    <w:rsid w:val="00627B44"/>
    <w:rsid w:val="00627C23"/>
    <w:rsid w:val="006305EF"/>
    <w:rsid w:val="00631992"/>
    <w:rsid w:val="00631E30"/>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4ECE"/>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5FD"/>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B7B42"/>
    <w:rsid w:val="006C14E0"/>
    <w:rsid w:val="006C3B12"/>
    <w:rsid w:val="006C44DF"/>
    <w:rsid w:val="006C4633"/>
    <w:rsid w:val="006C5636"/>
    <w:rsid w:val="006C6C67"/>
    <w:rsid w:val="006C7287"/>
    <w:rsid w:val="006C79D3"/>
    <w:rsid w:val="006D06F9"/>
    <w:rsid w:val="006D0805"/>
    <w:rsid w:val="006D0AA8"/>
    <w:rsid w:val="006D2153"/>
    <w:rsid w:val="006D2870"/>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0655C"/>
    <w:rsid w:val="00710424"/>
    <w:rsid w:val="007109F6"/>
    <w:rsid w:val="00711F62"/>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2CB"/>
    <w:rsid w:val="00731DF1"/>
    <w:rsid w:val="00731F2B"/>
    <w:rsid w:val="0073409B"/>
    <w:rsid w:val="00734105"/>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75D64"/>
    <w:rsid w:val="00781625"/>
    <w:rsid w:val="00781792"/>
    <w:rsid w:val="00781A3A"/>
    <w:rsid w:val="00782512"/>
    <w:rsid w:val="007826B4"/>
    <w:rsid w:val="00783557"/>
    <w:rsid w:val="0078405C"/>
    <w:rsid w:val="00784D8F"/>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0C9D"/>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4A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4A93"/>
    <w:rsid w:val="00865C11"/>
    <w:rsid w:val="00866290"/>
    <w:rsid w:val="00866978"/>
    <w:rsid w:val="00866CD7"/>
    <w:rsid w:val="00866D50"/>
    <w:rsid w:val="00866D9F"/>
    <w:rsid w:val="00867245"/>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644"/>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149"/>
    <w:rsid w:val="008C168A"/>
    <w:rsid w:val="008C1EF2"/>
    <w:rsid w:val="008C2F43"/>
    <w:rsid w:val="008C38EB"/>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3E27"/>
    <w:rsid w:val="00924BD8"/>
    <w:rsid w:val="009262FA"/>
    <w:rsid w:val="0092657B"/>
    <w:rsid w:val="00927A82"/>
    <w:rsid w:val="009314DA"/>
    <w:rsid w:val="00931700"/>
    <w:rsid w:val="00933951"/>
    <w:rsid w:val="00935B43"/>
    <w:rsid w:val="009364E2"/>
    <w:rsid w:val="009371D6"/>
    <w:rsid w:val="00937BFF"/>
    <w:rsid w:val="009400A1"/>
    <w:rsid w:val="009410FA"/>
    <w:rsid w:val="00941614"/>
    <w:rsid w:val="009430F7"/>
    <w:rsid w:val="00945D30"/>
    <w:rsid w:val="0094645C"/>
    <w:rsid w:val="00946916"/>
    <w:rsid w:val="00947045"/>
    <w:rsid w:val="009475A6"/>
    <w:rsid w:val="0094793F"/>
    <w:rsid w:val="00950842"/>
    <w:rsid w:val="00950C28"/>
    <w:rsid w:val="00951993"/>
    <w:rsid w:val="0095216E"/>
    <w:rsid w:val="00952D7A"/>
    <w:rsid w:val="00953E57"/>
    <w:rsid w:val="00954170"/>
    <w:rsid w:val="0095420F"/>
    <w:rsid w:val="00954CC0"/>
    <w:rsid w:val="00954CC5"/>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3516"/>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4F2C"/>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783"/>
    <w:rsid w:val="00AF5D1E"/>
    <w:rsid w:val="00AF6D11"/>
    <w:rsid w:val="00AF76C6"/>
    <w:rsid w:val="00B0165E"/>
    <w:rsid w:val="00B01B17"/>
    <w:rsid w:val="00B04103"/>
    <w:rsid w:val="00B047E9"/>
    <w:rsid w:val="00B050FB"/>
    <w:rsid w:val="00B05867"/>
    <w:rsid w:val="00B07A1A"/>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2F29"/>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2BE"/>
    <w:rsid w:val="00B40432"/>
    <w:rsid w:val="00B410C1"/>
    <w:rsid w:val="00B41218"/>
    <w:rsid w:val="00B4166B"/>
    <w:rsid w:val="00B418ED"/>
    <w:rsid w:val="00B42554"/>
    <w:rsid w:val="00B42703"/>
    <w:rsid w:val="00B433FC"/>
    <w:rsid w:val="00B43502"/>
    <w:rsid w:val="00B4391E"/>
    <w:rsid w:val="00B43ED0"/>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6070"/>
    <w:rsid w:val="00BA7A87"/>
    <w:rsid w:val="00BA7C33"/>
    <w:rsid w:val="00BB07FC"/>
    <w:rsid w:val="00BB0B67"/>
    <w:rsid w:val="00BB144E"/>
    <w:rsid w:val="00BB2970"/>
    <w:rsid w:val="00BC0139"/>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6DE1"/>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1FA2"/>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813"/>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B798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1B8E"/>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7BD"/>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46793"/>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C3CA0"/>
    <w:rsid w:val="00DD0D69"/>
    <w:rsid w:val="00DD26E3"/>
    <w:rsid w:val="00DD4EF2"/>
    <w:rsid w:val="00DD7636"/>
    <w:rsid w:val="00DE16CD"/>
    <w:rsid w:val="00DE32E5"/>
    <w:rsid w:val="00DE3605"/>
    <w:rsid w:val="00DE3946"/>
    <w:rsid w:val="00DE3C7B"/>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27C66"/>
    <w:rsid w:val="00E33737"/>
    <w:rsid w:val="00E33CD1"/>
    <w:rsid w:val="00E36C6E"/>
    <w:rsid w:val="00E40C06"/>
    <w:rsid w:val="00E40F6F"/>
    <w:rsid w:val="00E42717"/>
    <w:rsid w:val="00E43DFA"/>
    <w:rsid w:val="00E43E30"/>
    <w:rsid w:val="00E44250"/>
    <w:rsid w:val="00E45553"/>
    <w:rsid w:val="00E45A60"/>
    <w:rsid w:val="00E4639E"/>
    <w:rsid w:val="00E46C56"/>
    <w:rsid w:val="00E47E96"/>
    <w:rsid w:val="00E510DC"/>
    <w:rsid w:val="00E53631"/>
    <w:rsid w:val="00E5420C"/>
    <w:rsid w:val="00E56339"/>
    <w:rsid w:val="00E56ECC"/>
    <w:rsid w:val="00E572EF"/>
    <w:rsid w:val="00E5762D"/>
    <w:rsid w:val="00E57FEE"/>
    <w:rsid w:val="00E629C3"/>
    <w:rsid w:val="00E63001"/>
    <w:rsid w:val="00E6536A"/>
    <w:rsid w:val="00E667B4"/>
    <w:rsid w:val="00E67866"/>
    <w:rsid w:val="00E715FD"/>
    <w:rsid w:val="00E71601"/>
    <w:rsid w:val="00E718F8"/>
    <w:rsid w:val="00E71F11"/>
    <w:rsid w:val="00E729F5"/>
    <w:rsid w:val="00E736B3"/>
    <w:rsid w:val="00E73C8D"/>
    <w:rsid w:val="00E758D8"/>
    <w:rsid w:val="00E75C18"/>
    <w:rsid w:val="00E76BE0"/>
    <w:rsid w:val="00E76DB1"/>
    <w:rsid w:val="00E76EAA"/>
    <w:rsid w:val="00E7728D"/>
    <w:rsid w:val="00E7795C"/>
    <w:rsid w:val="00E77F48"/>
    <w:rsid w:val="00E80B69"/>
    <w:rsid w:val="00E81991"/>
    <w:rsid w:val="00E83C37"/>
    <w:rsid w:val="00E87B8E"/>
    <w:rsid w:val="00E900D1"/>
    <w:rsid w:val="00E90673"/>
    <w:rsid w:val="00E91856"/>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5E44"/>
    <w:rsid w:val="00EC6271"/>
    <w:rsid w:val="00EC7556"/>
    <w:rsid w:val="00EC7A99"/>
    <w:rsid w:val="00ED086D"/>
    <w:rsid w:val="00ED0F0B"/>
    <w:rsid w:val="00ED1036"/>
    <w:rsid w:val="00ED2EBC"/>
    <w:rsid w:val="00ED3AF2"/>
    <w:rsid w:val="00ED4242"/>
    <w:rsid w:val="00ED42A3"/>
    <w:rsid w:val="00ED4755"/>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2BE2"/>
    <w:rsid w:val="00F0458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5E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024"/>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4FDA"/>
    <w:rsid w:val="00FD620B"/>
    <w:rsid w:val="00FD6B02"/>
    <w:rsid w:val="00FD720A"/>
    <w:rsid w:val="00FE0037"/>
    <w:rsid w:val="00FE0B7F"/>
    <w:rsid w:val="00FE0F32"/>
    <w:rsid w:val="00FE11DF"/>
    <w:rsid w:val="00FE2C69"/>
    <w:rsid w:val="00FE2E9C"/>
    <w:rsid w:val="00FE4EFF"/>
    <w:rsid w:val="00FE62AA"/>
    <w:rsid w:val="00FF047B"/>
    <w:rsid w:val="00FF2F1A"/>
    <w:rsid w:val="00FF2FB9"/>
    <w:rsid w:val="00FF364F"/>
    <w:rsid w:val="00FF41A6"/>
    <w:rsid w:val="00FF4768"/>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21"/>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https/www.fidelity.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https/www.fidelityinternational.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iska.krohova@crestcom.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2.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3.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customXml/itemProps4.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2162</Words>
  <Characters>12759</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14892</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Jana Bělochová | CrestCommunications a.s.</cp:lastModifiedBy>
  <cp:revision>2</cp:revision>
  <cp:lastPrinted>2015-11-30T16:29:00Z</cp:lastPrinted>
  <dcterms:created xsi:type="dcterms:W3CDTF">2026-07-20T11:00:00Z</dcterms:created>
  <dcterms:modified xsi:type="dcterms:W3CDTF">2026-07-20T11:00:00Z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